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ACFA3" w14:textId="5B987498" w:rsidR="00202D75" w:rsidRDefault="00202D75" w:rsidP="00202D75">
      <w:pPr>
        <w:rPr>
          <w:rFonts w:asciiTheme="minorHAnsi" w:eastAsia="Times New Roman" w:hAnsiTheme="minorHAnsi"/>
          <w:sz w:val="28"/>
          <w:szCs w:val="28"/>
        </w:rPr>
      </w:pPr>
      <w:bookmarkStart w:id="0" w:name="_GoBack"/>
      <w:bookmarkEnd w:id="0"/>
      <w:r w:rsidRPr="00D50C05">
        <w:rPr>
          <w:rFonts w:asciiTheme="minorHAnsi" w:eastAsia="Times New Roman" w:hAnsiTheme="minorHAnsi"/>
          <w:b/>
          <w:sz w:val="32"/>
          <w:szCs w:val="32"/>
        </w:rPr>
        <w:t>OLA Treasure</w:t>
      </w:r>
      <w:r w:rsidR="00195D69">
        <w:rPr>
          <w:rFonts w:asciiTheme="minorHAnsi" w:eastAsia="Times New Roman" w:hAnsiTheme="minorHAnsi"/>
          <w:b/>
          <w:sz w:val="32"/>
          <w:szCs w:val="32"/>
        </w:rPr>
        <w:t xml:space="preserve">r’s </w:t>
      </w:r>
      <w:r w:rsidRPr="00D50C05">
        <w:rPr>
          <w:rFonts w:asciiTheme="minorHAnsi" w:eastAsia="Times New Roman" w:hAnsiTheme="minorHAnsi"/>
          <w:b/>
          <w:sz w:val="32"/>
          <w:szCs w:val="32"/>
        </w:rPr>
        <w:t>Report</w:t>
      </w:r>
      <w:r w:rsidR="00195D69">
        <w:rPr>
          <w:rFonts w:asciiTheme="minorHAnsi" w:eastAsia="Times New Roman" w:hAnsiTheme="minorHAnsi"/>
          <w:b/>
          <w:sz w:val="32"/>
          <w:szCs w:val="32"/>
        </w:rPr>
        <w:t xml:space="preserve"> </w:t>
      </w:r>
      <w:r w:rsidR="00932209">
        <w:rPr>
          <w:rFonts w:asciiTheme="minorHAnsi" w:eastAsia="Times New Roman" w:hAnsiTheme="minorHAnsi"/>
          <w:b/>
          <w:sz w:val="32"/>
          <w:szCs w:val="32"/>
        </w:rPr>
        <w:t>–</w:t>
      </w:r>
      <w:r w:rsidR="00195D69">
        <w:rPr>
          <w:rFonts w:asciiTheme="minorHAnsi" w:eastAsia="Times New Roman" w:hAnsiTheme="minorHAnsi"/>
          <w:b/>
          <w:sz w:val="32"/>
          <w:szCs w:val="32"/>
        </w:rPr>
        <w:t xml:space="preserve"> </w:t>
      </w:r>
      <w:r w:rsidR="00402F6E">
        <w:rPr>
          <w:rFonts w:asciiTheme="minorHAnsi" w:eastAsia="Times New Roman" w:hAnsiTheme="minorHAnsi"/>
          <w:sz w:val="28"/>
          <w:szCs w:val="28"/>
        </w:rPr>
        <w:t>October 7</w:t>
      </w:r>
      <w:r w:rsidR="004C6DA9">
        <w:rPr>
          <w:rFonts w:asciiTheme="minorHAnsi" w:eastAsia="Times New Roman" w:hAnsiTheme="minorHAnsi"/>
          <w:sz w:val="28"/>
          <w:szCs w:val="28"/>
        </w:rPr>
        <w:t>, 2016</w:t>
      </w:r>
    </w:p>
    <w:p w14:paraId="02BDDD0A" w14:textId="48D578BD" w:rsidR="00402F6E" w:rsidRPr="00402F6E" w:rsidRDefault="00402F6E" w:rsidP="00202D75">
      <w:pPr>
        <w:rPr>
          <w:rFonts w:asciiTheme="minorHAnsi" w:eastAsia="Times New Roman" w:hAnsiTheme="minorHAnsi"/>
          <w:i/>
          <w:sz w:val="28"/>
          <w:szCs w:val="28"/>
        </w:rPr>
      </w:pPr>
      <w:r>
        <w:rPr>
          <w:rFonts w:asciiTheme="minorHAnsi" w:eastAsia="Times New Roman" w:hAnsiTheme="minorHAnsi"/>
          <w:i/>
          <w:sz w:val="28"/>
          <w:szCs w:val="28"/>
        </w:rPr>
        <w:t>Fiscal Year End reporting</w:t>
      </w:r>
    </w:p>
    <w:p w14:paraId="41FC6CF1" w14:textId="77777777" w:rsidR="00202D75" w:rsidRPr="00D50C05" w:rsidRDefault="00202D75" w:rsidP="00202D75">
      <w:pPr>
        <w:rPr>
          <w:rFonts w:asciiTheme="minorHAnsi" w:eastAsia="Times New Roman" w:hAnsiTheme="minorHAnsi"/>
        </w:rPr>
      </w:pPr>
    </w:p>
    <w:p w14:paraId="0BEC3365" w14:textId="77777777" w:rsidR="00C855D2" w:rsidRPr="00D50C05" w:rsidRDefault="00C855D2" w:rsidP="00202D75">
      <w:pPr>
        <w:rPr>
          <w:rFonts w:asciiTheme="minorHAnsi" w:eastAsia="Times New Roman" w:hAnsiTheme="minorHAnsi"/>
        </w:rPr>
      </w:pPr>
    </w:p>
    <w:p w14:paraId="7F7C54FF" w14:textId="156AE753" w:rsidR="00195D69" w:rsidRDefault="001D6AC5" w:rsidP="00195D69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195D69">
        <w:rPr>
          <w:rFonts w:asciiTheme="minorHAnsi" w:eastAsia="Times New Roman" w:hAnsiTheme="minorHAnsi"/>
          <w:b/>
        </w:rPr>
        <w:t>Balance Sheet</w:t>
      </w:r>
      <w:r w:rsidR="00195D69">
        <w:rPr>
          <w:rFonts w:asciiTheme="minorHAnsi" w:eastAsia="Times New Roman" w:hAnsiTheme="minorHAnsi"/>
        </w:rPr>
        <w:t xml:space="preserve"> </w:t>
      </w:r>
      <w:r w:rsidR="00932209">
        <w:rPr>
          <w:rFonts w:asciiTheme="minorHAnsi" w:eastAsia="Times New Roman" w:hAnsiTheme="minorHAnsi"/>
        </w:rPr>
        <w:t xml:space="preserve">(Sep ’15 – </w:t>
      </w:r>
      <w:r w:rsidR="00402F6E">
        <w:rPr>
          <w:rFonts w:asciiTheme="minorHAnsi" w:eastAsia="Times New Roman" w:hAnsiTheme="minorHAnsi"/>
        </w:rPr>
        <w:t>Aug</w:t>
      </w:r>
      <w:r w:rsidR="00195D69" w:rsidRPr="00195D69">
        <w:rPr>
          <w:rFonts w:asciiTheme="minorHAnsi" w:eastAsia="Times New Roman" w:hAnsiTheme="minorHAnsi"/>
        </w:rPr>
        <w:t xml:space="preserve"> ’16)</w:t>
      </w:r>
      <w:r>
        <w:rPr>
          <w:rFonts w:asciiTheme="minorHAnsi" w:eastAsia="Times New Roman" w:hAnsiTheme="minorHAnsi"/>
        </w:rPr>
        <w:t>:</w:t>
      </w:r>
    </w:p>
    <w:p w14:paraId="5FD5BA63" w14:textId="77777777" w:rsidR="00195D69" w:rsidRPr="00195D69" w:rsidRDefault="00195D69" w:rsidP="00195D69">
      <w:pPr>
        <w:pStyle w:val="ListParagraph"/>
        <w:rPr>
          <w:rFonts w:asciiTheme="minorHAnsi" w:eastAsia="Times New Roman" w:hAnsiTheme="minorHAnsi"/>
        </w:rPr>
      </w:pPr>
    </w:p>
    <w:p w14:paraId="255C5CA1" w14:textId="7BF30747" w:rsidR="001D6AC5" w:rsidRDefault="001D6AC5" w:rsidP="001D6AC5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B7786B">
        <w:rPr>
          <w:rFonts w:asciiTheme="minorHAnsi" w:eastAsia="Times New Roman" w:hAnsiTheme="minorHAnsi"/>
          <w:u w:val="single"/>
        </w:rPr>
        <w:t>Checking</w:t>
      </w:r>
      <w:r w:rsidR="0035414A">
        <w:rPr>
          <w:rFonts w:asciiTheme="minorHAnsi" w:eastAsia="Times New Roman" w:hAnsiTheme="minorHAnsi"/>
        </w:rPr>
        <w:t xml:space="preserve"> - $</w:t>
      </w:r>
      <w:r w:rsidR="00696901">
        <w:rPr>
          <w:rFonts w:asciiTheme="minorHAnsi" w:eastAsia="Times New Roman" w:hAnsiTheme="minorHAnsi"/>
        </w:rPr>
        <w:t>8,251.79</w:t>
      </w:r>
    </w:p>
    <w:p w14:paraId="635A5F35" w14:textId="77777777" w:rsidR="00195D69" w:rsidRDefault="00195D69" w:rsidP="00195D69">
      <w:pPr>
        <w:pStyle w:val="ListParagraph"/>
        <w:ind w:left="1440"/>
        <w:rPr>
          <w:rFonts w:asciiTheme="minorHAnsi" w:eastAsia="Times New Roman" w:hAnsiTheme="minorHAnsi"/>
        </w:rPr>
      </w:pPr>
    </w:p>
    <w:p w14:paraId="263BBCB1" w14:textId="77777777" w:rsidR="00296E1E" w:rsidRDefault="001D6AC5" w:rsidP="00296E1E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B7786B">
        <w:rPr>
          <w:rFonts w:asciiTheme="minorHAnsi" w:eastAsia="Times New Roman" w:hAnsiTheme="minorHAnsi"/>
          <w:u w:val="single"/>
        </w:rPr>
        <w:t>Total assets</w:t>
      </w:r>
      <w:r w:rsidRPr="00D50C05">
        <w:rPr>
          <w:rFonts w:asciiTheme="minorHAnsi" w:eastAsia="Times New Roman" w:hAnsiTheme="minorHAnsi"/>
        </w:rPr>
        <w:t xml:space="preserve"> - $</w:t>
      </w:r>
      <w:r w:rsidR="00266565">
        <w:rPr>
          <w:rFonts w:asciiTheme="minorHAnsi" w:eastAsia="Times New Roman" w:hAnsiTheme="minorHAnsi"/>
        </w:rPr>
        <w:t>7</w:t>
      </w:r>
      <w:r w:rsidR="00696901">
        <w:rPr>
          <w:rFonts w:asciiTheme="minorHAnsi" w:eastAsia="Times New Roman" w:hAnsiTheme="minorHAnsi"/>
        </w:rPr>
        <w:t>04,260.54</w:t>
      </w:r>
    </w:p>
    <w:p w14:paraId="2F592088" w14:textId="77777777" w:rsidR="00296E1E" w:rsidRPr="00296E1E" w:rsidRDefault="00296E1E" w:rsidP="00296E1E">
      <w:pPr>
        <w:pStyle w:val="ListParagraph"/>
        <w:rPr>
          <w:rFonts w:asciiTheme="minorHAnsi" w:eastAsia="Times New Roman" w:hAnsiTheme="minorHAnsi"/>
        </w:rPr>
      </w:pPr>
    </w:p>
    <w:p w14:paraId="25E59D37" w14:textId="5803938A" w:rsidR="00D50C05" w:rsidRPr="00296E1E" w:rsidRDefault="00296E1E" w:rsidP="00D50C05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296E1E">
        <w:rPr>
          <w:rFonts w:asciiTheme="minorHAnsi" w:eastAsia="Times New Roman" w:hAnsiTheme="minorHAnsi"/>
          <w:u w:val="single"/>
        </w:rPr>
        <w:t>Year-end notes</w:t>
      </w:r>
      <w:r w:rsidRPr="00296E1E">
        <w:rPr>
          <w:rFonts w:asciiTheme="minorHAnsi" w:eastAsia="Times New Roman" w:hAnsiTheme="minorHAnsi"/>
        </w:rPr>
        <w:t xml:space="preserve"> - </w:t>
      </w:r>
      <w:r w:rsidRPr="00296E1E">
        <w:rPr>
          <w:rFonts w:asciiTheme="minorHAnsi" w:hAnsiTheme="minorHAnsi"/>
        </w:rPr>
        <w:t>With the completion of the OLA Strategic Plan and draw down on Public Library Division Enterprise Fund account access to cash on 8/30/16 was approximately $13,000.  The recommended amount to have on hand is $50,000.  Monies have since been deposited and balance as of 9/29/16 is $71,837.  So at this time, there is no need to draw on investments for cash.  The low fund balance resulted from the payment of the strategic plan work done 2015-16,  the draw down on the Enterprise Fund balance for PLD and the payment of books for OBOB15 grant to be reimbursed in September.</w:t>
      </w:r>
    </w:p>
    <w:p w14:paraId="74CD17FA" w14:textId="77777777" w:rsidR="00195D69" w:rsidRPr="00D50C05" w:rsidRDefault="00195D69" w:rsidP="00D50C05">
      <w:pPr>
        <w:pStyle w:val="ListParagraph"/>
        <w:rPr>
          <w:rFonts w:asciiTheme="minorHAnsi" w:eastAsia="Times New Roman" w:hAnsiTheme="minorHAnsi"/>
        </w:rPr>
      </w:pPr>
    </w:p>
    <w:p w14:paraId="7B1DB938" w14:textId="584B664F" w:rsidR="001D6AC5" w:rsidRDefault="001D6AC5" w:rsidP="00D50C05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195D69">
        <w:rPr>
          <w:rFonts w:asciiTheme="minorHAnsi" w:eastAsia="Times New Roman" w:hAnsiTheme="minorHAnsi"/>
          <w:b/>
        </w:rPr>
        <w:t>Profits and losses</w:t>
      </w:r>
      <w:r w:rsidR="00195D69">
        <w:rPr>
          <w:rFonts w:asciiTheme="minorHAnsi" w:eastAsia="Times New Roman" w:hAnsiTheme="minorHAnsi"/>
        </w:rPr>
        <w:t xml:space="preserve"> </w:t>
      </w:r>
      <w:r w:rsidR="00932209">
        <w:rPr>
          <w:rFonts w:asciiTheme="minorHAnsi" w:eastAsia="Times New Roman" w:hAnsiTheme="minorHAnsi"/>
        </w:rPr>
        <w:t xml:space="preserve">(Sep ’15 – </w:t>
      </w:r>
      <w:r w:rsidR="00402F6E">
        <w:rPr>
          <w:rFonts w:asciiTheme="minorHAnsi" w:eastAsia="Times New Roman" w:hAnsiTheme="minorHAnsi"/>
        </w:rPr>
        <w:t>Aug</w:t>
      </w:r>
      <w:r w:rsidR="00195D69" w:rsidRPr="00195D69">
        <w:rPr>
          <w:rFonts w:asciiTheme="minorHAnsi" w:eastAsia="Times New Roman" w:hAnsiTheme="minorHAnsi"/>
        </w:rPr>
        <w:t xml:space="preserve"> ’16)</w:t>
      </w:r>
      <w:r>
        <w:rPr>
          <w:rFonts w:asciiTheme="minorHAnsi" w:eastAsia="Times New Roman" w:hAnsiTheme="minorHAnsi"/>
        </w:rPr>
        <w:t xml:space="preserve">: </w:t>
      </w:r>
    </w:p>
    <w:p w14:paraId="3E578CA9" w14:textId="77777777" w:rsidR="00195D69" w:rsidRDefault="00195D69" w:rsidP="00195D69">
      <w:pPr>
        <w:pStyle w:val="ListParagraph"/>
        <w:rPr>
          <w:rFonts w:asciiTheme="minorHAnsi" w:eastAsia="Times New Roman" w:hAnsiTheme="minorHAnsi"/>
        </w:rPr>
      </w:pPr>
    </w:p>
    <w:p w14:paraId="29203279" w14:textId="6EE880D6" w:rsidR="00195D69" w:rsidRDefault="001D6AC5" w:rsidP="00195D69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AE0818">
        <w:rPr>
          <w:rFonts w:asciiTheme="minorHAnsi" w:eastAsia="Times New Roman" w:hAnsiTheme="minorHAnsi"/>
          <w:u w:val="single"/>
        </w:rPr>
        <w:t>Dues income</w:t>
      </w:r>
      <w:r w:rsidRPr="00AE0818">
        <w:rPr>
          <w:rFonts w:asciiTheme="minorHAnsi" w:eastAsia="Times New Roman" w:hAnsiTheme="minorHAnsi"/>
        </w:rPr>
        <w:t xml:space="preserve"> – $</w:t>
      </w:r>
      <w:r w:rsidR="0034376A" w:rsidRPr="00AE0818">
        <w:rPr>
          <w:rFonts w:asciiTheme="minorHAnsi" w:eastAsia="Times New Roman" w:hAnsiTheme="minorHAnsi"/>
        </w:rPr>
        <w:t>6</w:t>
      </w:r>
      <w:r w:rsidR="00696901">
        <w:rPr>
          <w:rFonts w:asciiTheme="minorHAnsi" w:eastAsia="Times New Roman" w:hAnsiTheme="minorHAnsi"/>
        </w:rPr>
        <w:t xml:space="preserve">7,947.50 </w:t>
      </w:r>
      <w:r w:rsidRPr="00AE0818">
        <w:rPr>
          <w:rFonts w:asciiTheme="minorHAnsi" w:eastAsia="Times New Roman" w:hAnsiTheme="minorHAnsi"/>
        </w:rPr>
        <w:t>–</w:t>
      </w:r>
      <w:r w:rsidR="000847CB" w:rsidRPr="00AE0818">
        <w:rPr>
          <w:rFonts w:asciiTheme="minorHAnsi" w:eastAsia="Times New Roman" w:hAnsiTheme="minorHAnsi"/>
        </w:rPr>
        <w:t xml:space="preserve"> </w:t>
      </w:r>
      <w:r w:rsidR="0034376A" w:rsidRPr="00AE0818">
        <w:rPr>
          <w:rFonts w:asciiTheme="minorHAnsi" w:eastAsia="Times New Roman" w:hAnsiTheme="minorHAnsi"/>
        </w:rPr>
        <w:t>1</w:t>
      </w:r>
      <w:r w:rsidR="00696901">
        <w:rPr>
          <w:rFonts w:asciiTheme="minorHAnsi" w:eastAsia="Times New Roman" w:hAnsiTheme="minorHAnsi"/>
        </w:rPr>
        <w:t>13.9</w:t>
      </w:r>
      <w:r w:rsidR="00331611" w:rsidRPr="00AE0818">
        <w:rPr>
          <w:rFonts w:asciiTheme="minorHAnsi" w:eastAsia="Times New Roman" w:hAnsiTheme="minorHAnsi"/>
        </w:rPr>
        <w:t xml:space="preserve">% of </w:t>
      </w:r>
      <w:r w:rsidR="000847CB" w:rsidRPr="00AE0818">
        <w:rPr>
          <w:rFonts w:asciiTheme="minorHAnsi" w:eastAsia="Times New Roman" w:hAnsiTheme="minorHAnsi"/>
        </w:rPr>
        <w:t>budgeted amount</w:t>
      </w:r>
      <w:r w:rsidR="00C43476" w:rsidRPr="00AE0818">
        <w:rPr>
          <w:rFonts w:asciiTheme="minorHAnsi" w:eastAsia="Times New Roman" w:hAnsiTheme="minorHAnsi"/>
        </w:rPr>
        <w:t xml:space="preserve"> ($60,000)</w:t>
      </w:r>
      <w:r w:rsidR="00540711" w:rsidRPr="00AE0818">
        <w:rPr>
          <w:rFonts w:asciiTheme="minorHAnsi" w:eastAsia="Times New Roman" w:hAnsiTheme="minorHAnsi"/>
        </w:rPr>
        <w:t xml:space="preserve">. </w:t>
      </w:r>
      <w:proofErr w:type="gramStart"/>
      <w:r w:rsidR="00FE6532">
        <w:rPr>
          <w:rFonts w:asciiTheme="minorHAnsi" w:eastAsia="Times New Roman" w:hAnsiTheme="minorHAnsi"/>
        </w:rPr>
        <w:t>A</w:t>
      </w:r>
      <w:proofErr w:type="gramEnd"/>
      <w:r w:rsidR="00FE6532" w:rsidRPr="00AE0818">
        <w:rPr>
          <w:rFonts w:asciiTheme="minorHAnsi" w:eastAsia="Times New Roman" w:hAnsiTheme="minorHAnsi"/>
        </w:rPr>
        <w:t xml:space="preserve"> </w:t>
      </w:r>
      <w:r w:rsidR="00FE6532">
        <w:rPr>
          <w:rFonts w:asciiTheme="minorHAnsi" w:eastAsia="Times New Roman" w:hAnsiTheme="minorHAnsi"/>
        </w:rPr>
        <w:t>11.2</w:t>
      </w:r>
      <w:r w:rsidR="00FE6532" w:rsidRPr="00AE0818">
        <w:rPr>
          <w:rFonts w:asciiTheme="minorHAnsi" w:eastAsia="Times New Roman" w:hAnsiTheme="minorHAnsi"/>
        </w:rPr>
        <w:t xml:space="preserve">% increase over </w:t>
      </w:r>
      <w:r w:rsidR="00FE6532">
        <w:rPr>
          <w:rFonts w:asciiTheme="minorHAnsi" w:eastAsia="Times New Roman" w:hAnsiTheme="minorHAnsi"/>
        </w:rPr>
        <w:t>FY14-15</w:t>
      </w:r>
      <w:r w:rsidR="00FE6532" w:rsidRPr="00AE0818">
        <w:rPr>
          <w:rFonts w:asciiTheme="minorHAnsi" w:eastAsia="Times New Roman" w:hAnsiTheme="minorHAnsi"/>
        </w:rPr>
        <w:t>.</w:t>
      </w:r>
    </w:p>
    <w:p w14:paraId="1AE5AAD3" w14:textId="77777777" w:rsidR="00AE0818" w:rsidRPr="00AE0818" w:rsidRDefault="00AE0818" w:rsidP="00AE0818">
      <w:pPr>
        <w:pStyle w:val="ListParagraph"/>
        <w:ind w:left="1440"/>
        <w:rPr>
          <w:rFonts w:asciiTheme="minorHAnsi" w:eastAsia="Times New Roman" w:hAnsiTheme="minorHAnsi"/>
        </w:rPr>
      </w:pPr>
    </w:p>
    <w:p w14:paraId="6E9FD719" w14:textId="4D2FCA86" w:rsidR="0034376A" w:rsidRDefault="00331611" w:rsidP="0034376A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AE0818">
        <w:rPr>
          <w:rFonts w:asciiTheme="minorHAnsi" w:eastAsia="Times New Roman" w:hAnsiTheme="minorHAnsi"/>
          <w:u w:val="single"/>
        </w:rPr>
        <w:t>Conference income</w:t>
      </w:r>
      <w:r w:rsidRPr="00AE0818">
        <w:rPr>
          <w:rFonts w:asciiTheme="minorHAnsi" w:eastAsia="Times New Roman" w:hAnsiTheme="minorHAnsi"/>
        </w:rPr>
        <w:t xml:space="preserve"> </w:t>
      </w:r>
      <w:r w:rsidR="00C43476" w:rsidRPr="00AE0818">
        <w:rPr>
          <w:rFonts w:asciiTheme="minorHAnsi" w:eastAsia="Times New Roman" w:hAnsiTheme="minorHAnsi"/>
        </w:rPr>
        <w:t>- $116,</w:t>
      </w:r>
      <w:r w:rsidR="00266565" w:rsidRPr="00AE0818">
        <w:rPr>
          <w:rFonts w:asciiTheme="minorHAnsi" w:eastAsia="Times New Roman" w:hAnsiTheme="minorHAnsi"/>
        </w:rPr>
        <w:t>959.30</w:t>
      </w:r>
      <w:r w:rsidR="0034376A" w:rsidRPr="00AE0818">
        <w:rPr>
          <w:rFonts w:asciiTheme="minorHAnsi" w:eastAsia="Times New Roman" w:hAnsiTheme="minorHAnsi"/>
        </w:rPr>
        <w:t xml:space="preserve"> </w:t>
      </w:r>
      <w:r w:rsidR="0038059F" w:rsidRPr="00AE0818">
        <w:rPr>
          <w:rFonts w:asciiTheme="minorHAnsi" w:eastAsia="Times New Roman" w:hAnsiTheme="minorHAnsi"/>
        </w:rPr>
        <w:t>–</w:t>
      </w:r>
      <w:r w:rsidR="000847CB" w:rsidRPr="00AE0818">
        <w:rPr>
          <w:rFonts w:asciiTheme="minorHAnsi" w:eastAsia="Times New Roman" w:hAnsiTheme="minorHAnsi"/>
        </w:rPr>
        <w:t xml:space="preserve"> </w:t>
      </w:r>
      <w:r w:rsidR="00C43476" w:rsidRPr="00AE0818">
        <w:rPr>
          <w:rFonts w:asciiTheme="minorHAnsi" w:eastAsia="Times New Roman" w:hAnsiTheme="minorHAnsi"/>
        </w:rPr>
        <w:t>134.9</w:t>
      </w:r>
      <w:r w:rsidR="0038059F" w:rsidRPr="00AE0818">
        <w:rPr>
          <w:rFonts w:asciiTheme="minorHAnsi" w:eastAsia="Times New Roman" w:hAnsiTheme="minorHAnsi"/>
        </w:rPr>
        <w:t>% of b</w:t>
      </w:r>
      <w:r w:rsidR="00C43476" w:rsidRPr="00AE0818">
        <w:rPr>
          <w:rFonts w:asciiTheme="minorHAnsi" w:eastAsia="Times New Roman" w:hAnsiTheme="minorHAnsi"/>
        </w:rPr>
        <w:t>udgeted amount ($86,670</w:t>
      </w:r>
      <w:r w:rsidR="00266565" w:rsidRPr="00AE0818">
        <w:rPr>
          <w:rFonts w:asciiTheme="minorHAnsi" w:eastAsia="Times New Roman" w:hAnsiTheme="minorHAnsi"/>
        </w:rPr>
        <w:t>)</w:t>
      </w:r>
      <w:r w:rsidR="0038059F" w:rsidRPr="00AE0818">
        <w:rPr>
          <w:rFonts w:asciiTheme="minorHAnsi" w:eastAsia="Times New Roman" w:hAnsiTheme="minorHAnsi"/>
        </w:rPr>
        <w:t xml:space="preserve">. </w:t>
      </w:r>
      <w:r w:rsidR="00FE6532">
        <w:rPr>
          <w:rFonts w:asciiTheme="minorHAnsi" w:eastAsia="Times New Roman" w:hAnsiTheme="minorHAnsi"/>
        </w:rPr>
        <w:t>A</w:t>
      </w:r>
      <w:r w:rsidR="00540711" w:rsidRPr="00AE0818">
        <w:rPr>
          <w:rFonts w:asciiTheme="minorHAnsi" w:eastAsia="Times New Roman" w:hAnsiTheme="minorHAnsi"/>
        </w:rPr>
        <w:t xml:space="preserve"> </w:t>
      </w:r>
      <w:r w:rsidR="0034376A" w:rsidRPr="00AE0818">
        <w:rPr>
          <w:rFonts w:asciiTheme="minorHAnsi" w:eastAsia="Times New Roman" w:hAnsiTheme="minorHAnsi"/>
        </w:rPr>
        <w:t>12.6</w:t>
      </w:r>
      <w:r w:rsidR="0038059F" w:rsidRPr="00AE0818">
        <w:rPr>
          <w:rFonts w:asciiTheme="minorHAnsi" w:eastAsia="Times New Roman" w:hAnsiTheme="minorHAnsi"/>
        </w:rPr>
        <w:t xml:space="preserve">% increase over </w:t>
      </w:r>
      <w:r w:rsidR="00FE6532">
        <w:rPr>
          <w:rFonts w:asciiTheme="minorHAnsi" w:eastAsia="Times New Roman" w:hAnsiTheme="minorHAnsi"/>
        </w:rPr>
        <w:t>FY14-15</w:t>
      </w:r>
      <w:r w:rsidR="0038059F" w:rsidRPr="00AE0818">
        <w:rPr>
          <w:rFonts w:asciiTheme="minorHAnsi" w:eastAsia="Times New Roman" w:hAnsiTheme="minorHAnsi"/>
        </w:rPr>
        <w:t>.</w:t>
      </w:r>
      <w:r w:rsidR="00765F44" w:rsidRPr="00AE0818">
        <w:rPr>
          <w:rFonts w:asciiTheme="minorHAnsi" w:eastAsia="Times New Roman" w:hAnsiTheme="minorHAnsi"/>
        </w:rPr>
        <w:t xml:space="preserve"> </w:t>
      </w:r>
    </w:p>
    <w:p w14:paraId="76C18FF0" w14:textId="77777777" w:rsidR="00AE0818" w:rsidRPr="00AE0818" w:rsidRDefault="00AE0818" w:rsidP="00AE0818">
      <w:pPr>
        <w:rPr>
          <w:rFonts w:asciiTheme="minorHAnsi" w:eastAsia="Times New Roman" w:hAnsiTheme="minorHAnsi"/>
        </w:rPr>
      </w:pPr>
    </w:p>
    <w:p w14:paraId="6C50B0E9" w14:textId="56B811A9" w:rsidR="0034376A" w:rsidRPr="0034376A" w:rsidRDefault="0034376A" w:rsidP="0034376A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AE0818">
        <w:rPr>
          <w:rFonts w:asciiTheme="minorHAnsi" w:eastAsia="Times New Roman" w:hAnsiTheme="minorHAnsi"/>
          <w:u w:val="single"/>
        </w:rPr>
        <w:t>Total income</w:t>
      </w:r>
      <w:r>
        <w:rPr>
          <w:rFonts w:asciiTheme="minorHAnsi" w:eastAsia="Times New Roman" w:hAnsiTheme="minorHAnsi"/>
        </w:rPr>
        <w:t xml:space="preserve"> - $1</w:t>
      </w:r>
      <w:r w:rsidR="00F75F9D">
        <w:rPr>
          <w:rFonts w:asciiTheme="minorHAnsi" w:eastAsia="Times New Roman" w:hAnsiTheme="minorHAnsi"/>
        </w:rPr>
        <w:t>92,657.52</w:t>
      </w:r>
      <w:r w:rsidR="00AE0818">
        <w:rPr>
          <w:rFonts w:asciiTheme="minorHAnsi" w:eastAsia="Times New Roman" w:hAnsiTheme="minorHAnsi"/>
        </w:rPr>
        <w:t>–</w:t>
      </w:r>
      <w:r>
        <w:rPr>
          <w:rFonts w:asciiTheme="minorHAnsi" w:eastAsia="Times New Roman" w:hAnsiTheme="minorHAnsi"/>
        </w:rPr>
        <w:t xml:space="preserve"> </w:t>
      </w:r>
      <w:r w:rsidR="00AE0818">
        <w:rPr>
          <w:rFonts w:asciiTheme="minorHAnsi" w:eastAsia="Times New Roman" w:hAnsiTheme="minorHAnsi"/>
        </w:rPr>
        <w:t>1</w:t>
      </w:r>
      <w:r w:rsidR="00F75F9D">
        <w:rPr>
          <w:rFonts w:asciiTheme="minorHAnsi" w:eastAsia="Times New Roman" w:hAnsiTheme="minorHAnsi"/>
        </w:rPr>
        <w:t>20.5</w:t>
      </w:r>
      <w:r w:rsidR="00AE0818">
        <w:rPr>
          <w:rFonts w:asciiTheme="minorHAnsi" w:eastAsia="Times New Roman" w:hAnsiTheme="minorHAnsi"/>
        </w:rPr>
        <w:t xml:space="preserve">% of budgeted amount ($159,824). </w:t>
      </w:r>
      <w:r w:rsidR="00FE6532">
        <w:rPr>
          <w:rFonts w:asciiTheme="minorHAnsi" w:eastAsia="Times New Roman" w:hAnsiTheme="minorHAnsi"/>
        </w:rPr>
        <w:t>A</w:t>
      </w:r>
      <w:r w:rsidR="00FE6532" w:rsidRPr="00AE0818">
        <w:rPr>
          <w:rFonts w:asciiTheme="minorHAnsi" w:eastAsia="Times New Roman" w:hAnsiTheme="minorHAnsi"/>
        </w:rPr>
        <w:t xml:space="preserve"> 12.6% increase over </w:t>
      </w:r>
      <w:r w:rsidR="00FE6532">
        <w:rPr>
          <w:rFonts w:asciiTheme="minorHAnsi" w:eastAsia="Times New Roman" w:hAnsiTheme="minorHAnsi"/>
        </w:rPr>
        <w:t>FY14-15</w:t>
      </w:r>
      <w:r w:rsidR="00FE6532" w:rsidRPr="00AE0818">
        <w:rPr>
          <w:rFonts w:asciiTheme="minorHAnsi" w:eastAsia="Times New Roman" w:hAnsiTheme="minorHAnsi"/>
        </w:rPr>
        <w:t xml:space="preserve">. </w:t>
      </w:r>
    </w:p>
    <w:p w14:paraId="344BCF14" w14:textId="77777777" w:rsidR="00195D69" w:rsidRPr="00D50C05" w:rsidRDefault="00195D69" w:rsidP="00D50C05">
      <w:pPr>
        <w:rPr>
          <w:rFonts w:asciiTheme="minorHAnsi" w:eastAsia="Times New Roman" w:hAnsiTheme="minorHAnsi"/>
        </w:rPr>
      </w:pPr>
    </w:p>
    <w:p w14:paraId="5B53EF55" w14:textId="77777777" w:rsidR="001D6AC5" w:rsidRDefault="00D976AA" w:rsidP="001D6AC5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195D69">
        <w:rPr>
          <w:rFonts w:asciiTheme="minorHAnsi" w:eastAsia="Times New Roman" w:hAnsiTheme="minorHAnsi"/>
          <w:b/>
        </w:rPr>
        <w:t>Investments Update</w:t>
      </w:r>
      <w:r>
        <w:rPr>
          <w:rFonts w:asciiTheme="minorHAnsi" w:eastAsia="Times New Roman" w:hAnsiTheme="minorHAnsi"/>
        </w:rPr>
        <w:t>:</w:t>
      </w:r>
    </w:p>
    <w:p w14:paraId="3E116B24" w14:textId="77777777" w:rsidR="00195D69" w:rsidRDefault="00195D69" w:rsidP="00195D69">
      <w:pPr>
        <w:pStyle w:val="ListParagraph"/>
        <w:rPr>
          <w:rFonts w:asciiTheme="minorHAnsi" w:eastAsia="Times New Roman" w:hAnsiTheme="minorHAnsi"/>
        </w:rPr>
      </w:pPr>
    </w:p>
    <w:p w14:paraId="3D48270F" w14:textId="2CEEE16E" w:rsidR="000F50C7" w:rsidRDefault="00480E79" w:rsidP="00B7786B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B7786B">
        <w:rPr>
          <w:rFonts w:asciiTheme="minorHAnsi" w:eastAsia="Times New Roman" w:hAnsiTheme="minorHAnsi"/>
          <w:u w:val="single"/>
        </w:rPr>
        <w:t>Connected Wealth Solutions investments</w:t>
      </w:r>
      <w:r>
        <w:rPr>
          <w:rFonts w:asciiTheme="minorHAnsi" w:eastAsia="Times New Roman" w:hAnsiTheme="minorHAnsi"/>
        </w:rPr>
        <w:t xml:space="preserve"> </w:t>
      </w:r>
      <w:r w:rsidR="00360B5C">
        <w:rPr>
          <w:rFonts w:asciiTheme="minorHAnsi" w:eastAsia="Times New Roman" w:hAnsiTheme="minorHAnsi"/>
        </w:rPr>
        <w:t xml:space="preserve">– after </w:t>
      </w:r>
      <w:r w:rsidR="00696901">
        <w:rPr>
          <w:rFonts w:asciiTheme="minorHAnsi" w:eastAsia="Times New Roman" w:hAnsiTheme="minorHAnsi"/>
        </w:rPr>
        <w:t>6</w:t>
      </w:r>
      <w:r w:rsidR="00B7786B">
        <w:rPr>
          <w:rFonts w:asciiTheme="minorHAnsi" w:eastAsia="Times New Roman" w:hAnsiTheme="minorHAnsi"/>
        </w:rPr>
        <w:t xml:space="preserve"> months of activity, these new investments </w:t>
      </w:r>
      <w:r>
        <w:rPr>
          <w:rFonts w:asciiTheme="minorHAnsi" w:eastAsia="Times New Roman" w:hAnsiTheme="minorHAnsi"/>
        </w:rPr>
        <w:t>are doing well</w:t>
      </w:r>
      <w:r w:rsidR="00296E1E">
        <w:rPr>
          <w:rFonts w:asciiTheme="minorHAnsi" w:eastAsia="Times New Roman" w:hAnsiTheme="minorHAnsi"/>
        </w:rPr>
        <w:t xml:space="preserve">. </w:t>
      </w:r>
      <w:r w:rsidR="00296E1E">
        <w:rPr>
          <w:rFonts w:asciiTheme="minorHAnsi" w:hAnsiTheme="minorHAnsi"/>
        </w:rPr>
        <w:t>R</w:t>
      </w:r>
      <w:r w:rsidR="00296E1E" w:rsidRPr="00296E1E">
        <w:rPr>
          <w:rFonts w:asciiTheme="minorHAnsi" w:hAnsiTheme="minorHAnsi"/>
        </w:rPr>
        <w:t>eturn is at 3.15%</w:t>
      </w:r>
      <w:r w:rsidR="00296E1E">
        <w:rPr>
          <w:rFonts w:asciiTheme="minorHAnsi" w:hAnsiTheme="minorHAnsi"/>
        </w:rPr>
        <w:t>.</w:t>
      </w:r>
    </w:p>
    <w:p w14:paraId="140F4245" w14:textId="2ABCAF7B" w:rsidR="00D9036E" w:rsidRDefault="00D976AA" w:rsidP="000F50C7">
      <w:pPr>
        <w:pStyle w:val="ListParagraph"/>
        <w:numPr>
          <w:ilvl w:val="2"/>
          <w:numId w:val="2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OLA General Account</w:t>
      </w:r>
      <w:r w:rsidR="00B7786B">
        <w:rPr>
          <w:rFonts w:asciiTheme="minorHAnsi" w:eastAsia="Times New Roman" w:hAnsiTheme="minorHAnsi"/>
        </w:rPr>
        <w:t xml:space="preserve"> ($100,000 initial investment) </w:t>
      </w:r>
      <w:r w:rsidR="00D9036E">
        <w:rPr>
          <w:rFonts w:asciiTheme="minorHAnsi" w:eastAsia="Times New Roman" w:hAnsiTheme="minorHAnsi"/>
        </w:rPr>
        <w:t>-</w:t>
      </w:r>
      <w:r w:rsidR="00B7786B">
        <w:rPr>
          <w:rFonts w:asciiTheme="minorHAnsi" w:eastAsia="Times New Roman" w:hAnsiTheme="minorHAnsi"/>
        </w:rPr>
        <w:t xml:space="preserve"> earned $</w:t>
      </w:r>
      <w:r w:rsidR="009265CF">
        <w:rPr>
          <w:rFonts w:asciiTheme="minorHAnsi" w:eastAsia="Times New Roman" w:hAnsiTheme="minorHAnsi"/>
        </w:rPr>
        <w:t>3,</w:t>
      </w:r>
      <w:r w:rsidR="007207B1">
        <w:rPr>
          <w:rFonts w:asciiTheme="minorHAnsi" w:eastAsia="Times New Roman" w:hAnsiTheme="minorHAnsi"/>
        </w:rPr>
        <w:t>143.53</w:t>
      </w:r>
    </w:p>
    <w:p w14:paraId="286E000C" w14:textId="469737D0" w:rsidR="00B7786B" w:rsidRDefault="00B7786B" w:rsidP="000F50C7">
      <w:pPr>
        <w:pStyle w:val="ListParagraph"/>
        <w:numPr>
          <w:ilvl w:val="2"/>
          <w:numId w:val="2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OASL General Account ($125,000 initial investment) </w:t>
      </w:r>
      <w:r w:rsidR="00D9036E">
        <w:rPr>
          <w:rFonts w:asciiTheme="minorHAnsi" w:eastAsia="Times New Roman" w:hAnsiTheme="minorHAnsi"/>
        </w:rPr>
        <w:t>-</w:t>
      </w:r>
      <w:r>
        <w:rPr>
          <w:rFonts w:asciiTheme="minorHAnsi" w:eastAsia="Times New Roman" w:hAnsiTheme="minorHAnsi"/>
        </w:rPr>
        <w:t xml:space="preserve"> earned $</w:t>
      </w:r>
      <w:r w:rsidR="009265CF">
        <w:rPr>
          <w:rFonts w:asciiTheme="minorHAnsi" w:eastAsia="Times New Roman" w:hAnsiTheme="minorHAnsi"/>
        </w:rPr>
        <w:t>3,9</w:t>
      </w:r>
      <w:r w:rsidR="007E28DA">
        <w:rPr>
          <w:rFonts w:asciiTheme="minorHAnsi" w:eastAsia="Times New Roman" w:hAnsiTheme="minorHAnsi"/>
        </w:rPr>
        <w:t>33.71</w:t>
      </w:r>
      <w:r w:rsidR="009265CF">
        <w:rPr>
          <w:rFonts w:asciiTheme="minorHAnsi" w:eastAsia="Times New Roman" w:hAnsiTheme="minorHAnsi"/>
        </w:rPr>
        <w:t xml:space="preserve"> </w:t>
      </w:r>
    </w:p>
    <w:p w14:paraId="1F04A1EE" w14:textId="77777777" w:rsidR="00195D69" w:rsidRDefault="00195D69" w:rsidP="00195D69">
      <w:pPr>
        <w:pStyle w:val="ListParagraph"/>
        <w:ind w:left="1440"/>
        <w:rPr>
          <w:rFonts w:asciiTheme="minorHAnsi" w:eastAsia="Times New Roman" w:hAnsiTheme="minorHAnsi"/>
        </w:rPr>
      </w:pPr>
    </w:p>
    <w:p w14:paraId="0FC4EB93" w14:textId="303475F4" w:rsidR="00D9036E" w:rsidRPr="009926A0" w:rsidRDefault="00B7786B" w:rsidP="00B7786B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9926A0">
        <w:rPr>
          <w:rFonts w:asciiTheme="minorHAnsi" w:eastAsia="Times New Roman" w:hAnsiTheme="minorHAnsi"/>
          <w:u w:val="single"/>
        </w:rPr>
        <w:t>LLP Financial investments</w:t>
      </w:r>
      <w:r w:rsidRPr="009926A0">
        <w:rPr>
          <w:rFonts w:asciiTheme="minorHAnsi" w:eastAsia="Times New Roman" w:hAnsiTheme="minorHAnsi"/>
        </w:rPr>
        <w:t xml:space="preserve"> </w:t>
      </w:r>
      <w:r w:rsidR="00195D69" w:rsidRPr="009926A0">
        <w:rPr>
          <w:rFonts w:asciiTheme="minorHAnsi" w:eastAsia="Times New Roman" w:hAnsiTheme="minorHAnsi"/>
        </w:rPr>
        <w:t xml:space="preserve">– </w:t>
      </w:r>
      <w:r w:rsidR="00D9036E" w:rsidRPr="009926A0">
        <w:rPr>
          <w:rFonts w:asciiTheme="minorHAnsi" w:eastAsia="Times New Roman" w:hAnsiTheme="minorHAnsi"/>
        </w:rPr>
        <w:t>these investments continue to perform well</w:t>
      </w:r>
      <w:r w:rsidR="00D81301">
        <w:rPr>
          <w:rFonts w:asciiTheme="minorHAnsi" w:eastAsia="Times New Roman" w:hAnsiTheme="minorHAnsi"/>
        </w:rPr>
        <w:t xml:space="preserve"> overall</w:t>
      </w:r>
      <w:r w:rsidR="00D9036E" w:rsidRPr="009926A0">
        <w:rPr>
          <w:rFonts w:asciiTheme="minorHAnsi" w:eastAsia="Times New Roman" w:hAnsiTheme="minorHAnsi"/>
        </w:rPr>
        <w:t xml:space="preserve">. </w:t>
      </w:r>
    </w:p>
    <w:p w14:paraId="108E1E27" w14:textId="302EF9A8" w:rsidR="00B7786B" w:rsidRPr="009926A0" w:rsidRDefault="009265CF" w:rsidP="00D9036E">
      <w:pPr>
        <w:pStyle w:val="ListParagraph"/>
        <w:ind w:left="144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(Sep ’15-</w:t>
      </w:r>
      <w:r w:rsidR="00696901">
        <w:rPr>
          <w:rFonts w:asciiTheme="minorHAnsi" w:eastAsia="Times New Roman" w:hAnsiTheme="minorHAnsi"/>
        </w:rPr>
        <w:t>Aug</w:t>
      </w:r>
      <w:r w:rsidR="00D9036E" w:rsidRPr="009926A0">
        <w:rPr>
          <w:rFonts w:asciiTheme="minorHAnsi" w:eastAsia="Times New Roman" w:hAnsiTheme="minorHAnsi"/>
        </w:rPr>
        <w:t xml:space="preserve"> ’16):</w:t>
      </w:r>
    </w:p>
    <w:p w14:paraId="3727770A" w14:textId="15C19477" w:rsidR="00D9036E" w:rsidRPr="009926A0" w:rsidRDefault="00D9036E" w:rsidP="00D9036E">
      <w:pPr>
        <w:pStyle w:val="ListParagraph"/>
        <w:numPr>
          <w:ilvl w:val="2"/>
          <w:numId w:val="2"/>
        </w:numPr>
        <w:rPr>
          <w:rFonts w:asciiTheme="minorHAnsi" w:eastAsia="Times New Roman" w:hAnsiTheme="minorHAnsi"/>
        </w:rPr>
      </w:pPr>
      <w:r w:rsidRPr="009926A0">
        <w:rPr>
          <w:rFonts w:asciiTheme="minorHAnsi" w:eastAsia="Times New Roman" w:hAnsiTheme="minorHAnsi"/>
        </w:rPr>
        <w:t>OLA – earned $</w:t>
      </w:r>
      <w:r w:rsidR="003771F4">
        <w:rPr>
          <w:rFonts w:asciiTheme="minorHAnsi" w:eastAsia="Times New Roman" w:hAnsiTheme="minorHAnsi"/>
        </w:rPr>
        <w:t>14,</w:t>
      </w:r>
      <w:r w:rsidR="007E28DA">
        <w:rPr>
          <w:rFonts w:asciiTheme="minorHAnsi" w:eastAsia="Times New Roman" w:hAnsiTheme="minorHAnsi"/>
        </w:rPr>
        <w:t>604.09</w:t>
      </w:r>
      <w:r w:rsidR="0026692E">
        <w:rPr>
          <w:rFonts w:asciiTheme="minorHAnsi" w:eastAsia="Times New Roman" w:hAnsiTheme="minorHAnsi"/>
        </w:rPr>
        <w:t xml:space="preserve"> (account value - $</w:t>
      </w:r>
      <w:r w:rsidR="003771F4">
        <w:rPr>
          <w:rFonts w:asciiTheme="minorHAnsi" w:eastAsia="Times New Roman" w:hAnsiTheme="minorHAnsi"/>
        </w:rPr>
        <w:t>243,</w:t>
      </w:r>
      <w:r w:rsidR="00A956CB">
        <w:rPr>
          <w:rFonts w:asciiTheme="minorHAnsi" w:eastAsia="Times New Roman" w:hAnsiTheme="minorHAnsi"/>
        </w:rPr>
        <w:t>437.07</w:t>
      </w:r>
      <w:r w:rsidRPr="009926A0">
        <w:rPr>
          <w:rFonts w:asciiTheme="minorHAnsi" w:eastAsia="Times New Roman" w:hAnsiTheme="minorHAnsi"/>
        </w:rPr>
        <w:t>)</w:t>
      </w:r>
    </w:p>
    <w:p w14:paraId="000E8F4E" w14:textId="2ABEF50B" w:rsidR="00D9036E" w:rsidRPr="009926A0" w:rsidRDefault="00D9036E" w:rsidP="00D9036E">
      <w:pPr>
        <w:pStyle w:val="ListParagraph"/>
        <w:numPr>
          <w:ilvl w:val="2"/>
          <w:numId w:val="2"/>
        </w:numPr>
        <w:rPr>
          <w:rFonts w:asciiTheme="minorHAnsi" w:eastAsia="Times New Roman" w:hAnsiTheme="minorHAnsi"/>
        </w:rPr>
      </w:pPr>
      <w:r w:rsidRPr="009926A0">
        <w:rPr>
          <w:rFonts w:asciiTheme="minorHAnsi" w:eastAsia="Times New Roman" w:hAnsiTheme="minorHAnsi"/>
        </w:rPr>
        <w:t>Hull Endowment – earned $</w:t>
      </w:r>
      <w:r w:rsidR="003771F4">
        <w:rPr>
          <w:rFonts w:asciiTheme="minorHAnsi" w:eastAsia="Times New Roman" w:hAnsiTheme="minorHAnsi"/>
        </w:rPr>
        <w:t>8,</w:t>
      </w:r>
      <w:r w:rsidR="007E28DA">
        <w:rPr>
          <w:rFonts w:asciiTheme="minorHAnsi" w:eastAsia="Times New Roman" w:hAnsiTheme="minorHAnsi"/>
        </w:rPr>
        <w:t>417.24</w:t>
      </w:r>
      <w:r w:rsidRPr="009926A0">
        <w:rPr>
          <w:rFonts w:asciiTheme="minorHAnsi" w:eastAsia="Times New Roman" w:hAnsiTheme="minorHAnsi"/>
        </w:rPr>
        <w:t xml:space="preserve"> (account value - $</w:t>
      </w:r>
      <w:r w:rsidR="003771F4">
        <w:rPr>
          <w:rFonts w:asciiTheme="minorHAnsi" w:eastAsia="Times New Roman" w:hAnsiTheme="minorHAnsi"/>
        </w:rPr>
        <w:t>160,</w:t>
      </w:r>
      <w:r w:rsidR="00A956CB">
        <w:rPr>
          <w:rFonts w:asciiTheme="minorHAnsi" w:eastAsia="Times New Roman" w:hAnsiTheme="minorHAnsi"/>
        </w:rPr>
        <w:t>434.64</w:t>
      </w:r>
      <w:r w:rsidR="009926A0">
        <w:rPr>
          <w:rFonts w:asciiTheme="minorHAnsi" w:eastAsia="Times New Roman" w:hAnsiTheme="minorHAnsi"/>
        </w:rPr>
        <w:t>)</w:t>
      </w:r>
    </w:p>
    <w:p w14:paraId="499C608D" w14:textId="7F653FE0" w:rsidR="00D9036E" w:rsidRPr="009926A0" w:rsidRDefault="00D9036E" w:rsidP="00D9036E">
      <w:pPr>
        <w:pStyle w:val="ListParagraph"/>
        <w:numPr>
          <w:ilvl w:val="2"/>
          <w:numId w:val="2"/>
        </w:numPr>
        <w:rPr>
          <w:rFonts w:asciiTheme="minorHAnsi" w:eastAsia="Times New Roman" w:hAnsiTheme="minorHAnsi"/>
        </w:rPr>
      </w:pPr>
      <w:r w:rsidRPr="009926A0">
        <w:rPr>
          <w:rFonts w:asciiTheme="minorHAnsi" w:eastAsia="Times New Roman" w:hAnsiTheme="minorHAnsi"/>
        </w:rPr>
        <w:t xml:space="preserve">Hull Earnings – </w:t>
      </w:r>
      <w:r w:rsidR="00D81301">
        <w:rPr>
          <w:rFonts w:asciiTheme="minorHAnsi" w:eastAsia="Times New Roman" w:hAnsiTheme="minorHAnsi"/>
        </w:rPr>
        <w:t>lost</w:t>
      </w:r>
      <w:r w:rsidRPr="009926A0">
        <w:rPr>
          <w:rFonts w:asciiTheme="minorHAnsi" w:eastAsia="Times New Roman" w:hAnsiTheme="minorHAnsi"/>
        </w:rPr>
        <w:t xml:space="preserve"> </w:t>
      </w:r>
      <w:r w:rsidR="00D81301">
        <w:rPr>
          <w:rFonts w:asciiTheme="minorHAnsi" w:eastAsia="Times New Roman" w:hAnsiTheme="minorHAnsi"/>
        </w:rPr>
        <w:t>-</w:t>
      </w:r>
      <w:r w:rsidRPr="009926A0">
        <w:rPr>
          <w:rFonts w:asciiTheme="minorHAnsi" w:eastAsia="Times New Roman" w:hAnsiTheme="minorHAnsi"/>
        </w:rPr>
        <w:t>$</w:t>
      </w:r>
      <w:r w:rsidR="00D81301">
        <w:rPr>
          <w:rFonts w:asciiTheme="minorHAnsi" w:eastAsia="Times New Roman" w:hAnsiTheme="minorHAnsi"/>
        </w:rPr>
        <w:t>1,</w:t>
      </w:r>
      <w:r w:rsidR="007E28DA">
        <w:rPr>
          <w:rFonts w:asciiTheme="minorHAnsi" w:eastAsia="Times New Roman" w:hAnsiTheme="minorHAnsi"/>
        </w:rPr>
        <w:t>783.67</w:t>
      </w:r>
      <w:r w:rsidR="009926A0">
        <w:rPr>
          <w:rFonts w:asciiTheme="minorHAnsi" w:eastAsia="Times New Roman" w:hAnsiTheme="minorHAnsi"/>
        </w:rPr>
        <w:t xml:space="preserve"> (account value – </w:t>
      </w:r>
      <w:r w:rsidR="00D81301">
        <w:rPr>
          <w:rFonts w:asciiTheme="minorHAnsi" w:eastAsia="Times New Roman" w:hAnsiTheme="minorHAnsi"/>
        </w:rPr>
        <w:t>$25,</w:t>
      </w:r>
      <w:r w:rsidR="00A956CB">
        <w:rPr>
          <w:rFonts w:asciiTheme="minorHAnsi" w:eastAsia="Times New Roman" w:hAnsiTheme="minorHAnsi"/>
        </w:rPr>
        <w:t>231.58</w:t>
      </w:r>
      <w:r w:rsidR="009926A0">
        <w:rPr>
          <w:rFonts w:asciiTheme="minorHAnsi" w:eastAsia="Times New Roman" w:hAnsiTheme="minorHAnsi"/>
        </w:rPr>
        <w:t>)</w:t>
      </w:r>
    </w:p>
    <w:p w14:paraId="0F30EA6D" w14:textId="77777777" w:rsidR="00195D69" w:rsidRPr="00195D69" w:rsidRDefault="00195D69" w:rsidP="00195D69">
      <w:pPr>
        <w:rPr>
          <w:rFonts w:asciiTheme="minorHAnsi" w:eastAsia="Times New Roman" w:hAnsiTheme="minorHAnsi"/>
        </w:rPr>
      </w:pPr>
    </w:p>
    <w:p w14:paraId="629E199C" w14:textId="7926843C" w:rsidR="001D6AC5" w:rsidRDefault="00B7786B" w:rsidP="00B7786B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B7786B">
        <w:rPr>
          <w:rFonts w:asciiTheme="minorHAnsi" w:eastAsia="Times New Roman" w:hAnsiTheme="minorHAnsi"/>
          <w:u w:val="single"/>
        </w:rPr>
        <w:lastRenderedPageBreak/>
        <w:t>Finance/Investment committee</w:t>
      </w:r>
      <w:r w:rsidRPr="00B7786B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– the committee </w:t>
      </w:r>
      <w:r w:rsidR="00696901">
        <w:rPr>
          <w:rFonts w:asciiTheme="minorHAnsi" w:eastAsia="Times New Roman" w:hAnsiTheme="minorHAnsi"/>
        </w:rPr>
        <w:t>met</w:t>
      </w:r>
      <w:r w:rsidR="00887B66">
        <w:rPr>
          <w:rFonts w:asciiTheme="minorHAnsi" w:eastAsia="Times New Roman" w:hAnsiTheme="minorHAnsi"/>
        </w:rPr>
        <w:t xml:space="preserve"> virtually</w:t>
      </w:r>
      <w:r w:rsidR="00696901">
        <w:rPr>
          <w:rFonts w:asciiTheme="minorHAnsi" w:eastAsia="Times New Roman" w:hAnsiTheme="minorHAnsi"/>
        </w:rPr>
        <w:t xml:space="preserve"> on </w:t>
      </w:r>
      <w:r w:rsidR="00887B66">
        <w:rPr>
          <w:rFonts w:asciiTheme="minorHAnsi" w:eastAsia="Times New Roman" w:hAnsiTheme="minorHAnsi"/>
        </w:rPr>
        <w:t xml:space="preserve">Friday, </w:t>
      </w:r>
      <w:r w:rsidR="00696901">
        <w:rPr>
          <w:rFonts w:asciiTheme="minorHAnsi" w:eastAsia="Times New Roman" w:hAnsiTheme="minorHAnsi"/>
        </w:rPr>
        <w:t xml:space="preserve">September 30 </w:t>
      </w:r>
      <w:r w:rsidRPr="00B7786B">
        <w:rPr>
          <w:rFonts w:asciiTheme="minorHAnsi" w:eastAsia="Times New Roman" w:hAnsiTheme="minorHAnsi"/>
        </w:rPr>
        <w:t>for its annual review and check in with Connected Wealth Solutions and LPL regarding potential needs for rebalancing our investments.</w:t>
      </w:r>
    </w:p>
    <w:p w14:paraId="634AF38E" w14:textId="77777777" w:rsidR="00296E1E" w:rsidRDefault="00296E1E" w:rsidP="00296E1E">
      <w:pPr>
        <w:pStyle w:val="ListParagraph"/>
        <w:ind w:left="1440"/>
        <w:rPr>
          <w:rFonts w:asciiTheme="minorHAnsi" w:eastAsia="Times New Roman" w:hAnsiTheme="minorHAnsi"/>
          <w:u w:val="single"/>
        </w:rPr>
      </w:pPr>
    </w:p>
    <w:p w14:paraId="385C2F13" w14:textId="698428F4" w:rsidR="00296E1E" w:rsidRDefault="00296E1E" w:rsidP="00296E1E">
      <w:pPr>
        <w:ind w:left="1440"/>
        <w:rPr>
          <w:rFonts w:asciiTheme="minorHAnsi" w:hAnsiTheme="minorHAnsi"/>
        </w:rPr>
      </w:pPr>
      <w:r w:rsidRPr="00296E1E">
        <w:rPr>
          <w:rFonts w:asciiTheme="minorHAnsi" w:hAnsiTheme="minorHAnsi"/>
        </w:rPr>
        <w:t xml:space="preserve">At time of inception the </w:t>
      </w:r>
      <w:r w:rsidRPr="00296E1E">
        <w:rPr>
          <w:rFonts w:asciiTheme="minorHAnsi" w:hAnsiTheme="minorHAnsi"/>
          <w:u w:val="single"/>
        </w:rPr>
        <w:t>Connected Wealth</w:t>
      </w:r>
      <w:r>
        <w:rPr>
          <w:rFonts w:asciiTheme="minorHAnsi" w:hAnsiTheme="minorHAnsi"/>
        </w:rPr>
        <w:t xml:space="preserve"> investment </w:t>
      </w:r>
      <w:r w:rsidRPr="00296E1E">
        <w:rPr>
          <w:rFonts w:asciiTheme="minorHAnsi" w:hAnsiTheme="minorHAnsi"/>
        </w:rPr>
        <w:t xml:space="preserve">breakdown was 30% Equities and 70% Fixed Income/Mutual Funds. </w:t>
      </w:r>
      <w:r>
        <w:rPr>
          <w:rFonts w:asciiTheme="minorHAnsi" w:hAnsiTheme="minorHAnsi"/>
        </w:rPr>
        <w:t>After hearing more about the Alternative Mutual Fund, the c</w:t>
      </w:r>
      <w:r w:rsidRPr="00296E1E">
        <w:rPr>
          <w:rFonts w:asciiTheme="minorHAnsi" w:hAnsiTheme="minorHAnsi"/>
        </w:rPr>
        <w:t>ommittee agreed to reallocation investment portfolio as recommended</w:t>
      </w:r>
      <w:r>
        <w:rPr>
          <w:rFonts w:asciiTheme="minorHAnsi" w:hAnsiTheme="minorHAnsi"/>
        </w:rPr>
        <w:t xml:space="preserve"> to </w:t>
      </w:r>
      <w:r w:rsidRPr="00296E1E">
        <w:rPr>
          <w:rFonts w:asciiTheme="minorHAnsi" w:hAnsiTheme="minorHAnsi"/>
        </w:rPr>
        <w:t>10% Alternative Mutual Fund</w:t>
      </w:r>
      <w:r>
        <w:rPr>
          <w:rFonts w:asciiTheme="minorHAnsi" w:hAnsiTheme="minorHAnsi"/>
        </w:rPr>
        <w:t xml:space="preserve">, </w:t>
      </w:r>
      <w:r w:rsidRPr="00296E1E">
        <w:rPr>
          <w:rFonts w:asciiTheme="minorHAnsi" w:hAnsiTheme="minorHAnsi"/>
        </w:rPr>
        <w:t>25% Equities</w:t>
      </w:r>
      <w:r>
        <w:rPr>
          <w:rFonts w:asciiTheme="minorHAnsi" w:hAnsiTheme="minorHAnsi"/>
        </w:rPr>
        <w:t xml:space="preserve">, and </w:t>
      </w:r>
      <w:r w:rsidRPr="00296E1E">
        <w:rPr>
          <w:rFonts w:asciiTheme="minorHAnsi" w:hAnsiTheme="minorHAnsi"/>
        </w:rPr>
        <w:t>65% Bonds</w:t>
      </w:r>
      <w:r>
        <w:rPr>
          <w:rFonts w:asciiTheme="minorHAnsi" w:hAnsiTheme="minorHAnsi"/>
        </w:rPr>
        <w:t>.</w:t>
      </w:r>
    </w:p>
    <w:p w14:paraId="0E241866" w14:textId="77777777" w:rsidR="00296E1E" w:rsidRDefault="00296E1E" w:rsidP="00296E1E">
      <w:pPr>
        <w:ind w:left="1440"/>
        <w:rPr>
          <w:rFonts w:asciiTheme="minorHAnsi" w:hAnsiTheme="minorHAnsi"/>
        </w:rPr>
      </w:pPr>
    </w:p>
    <w:p w14:paraId="19C8B462" w14:textId="68BCE46E" w:rsidR="00296E1E" w:rsidRDefault="00A1758F" w:rsidP="00296E1E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OLA has longer-term investments with </w:t>
      </w:r>
      <w:r w:rsidRPr="00A1758F">
        <w:rPr>
          <w:rFonts w:asciiTheme="minorHAnsi" w:hAnsiTheme="minorHAnsi"/>
          <w:u w:val="single"/>
        </w:rPr>
        <w:t>LPL Financial</w:t>
      </w:r>
      <w:r>
        <w:rPr>
          <w:rFonts w:asciiTheme="minorHAnsi" w:hAnsiTheme="minorHAnsi"/>
        </w:rPr>
        <w:t>. This allows for investment in more volatile funds.</w:t>
      </w:r>
      <w:r w:rsidRPr="00A1758F">
        <w:rPr>
          <w:rFonts w:asciiTheme="minorHAnsi" w:hAnsiTheme="minorHAnsi"/>
        </w:rPr>
        <w:t xml:space="preserve"> At this time negative activity resulting in 2015 and January 2016 has been recovered with modest earnings since the beginning of the year.  </w:t>
      </w:r>
      <w:r>
        <w:rPr>
          <w:rFonts w:asciiTheme="minorHAnsi" w:hAnsiTheme="minorHAnsi"/>
        </w:rPr>
        <w:t>Currently, the general allocation of funds is 50% E</w:t>
      </w:r>
      <w:r w:rsidRPr="00A1758F">
        <w:rPr>
          <w:rFonts w:asciiTheme="minorHAnsi" w:hAnsiTheme="minorHAnsi"/>
        </w:rPr>
        <w:t xml:space="preserve">quities and 50% Fixed Income/Bonds.  </w:t>
      </w:r>
      <w:r>
        <w:rPr>
          <w:rFonts w:asciiTheme="minorHAnsi" w:hAnsiTheme="minorHAnsi"/>
        </w:rPr>
        <w:t>The following actions were approved by the committee:</w:t>
      </w:r>
    </w:p>
    <w:p w14:paraId="62C34787" w14:textId="77777777" w:rsidR="00A1758F" w:rsidRDefault="00A1758F" w:rsidP="00296E1E">
      <w:pPr>
        <w:ind w:left="1440"/>
        <w:rPr>
          <w:rFonts w:asciiTheme="minorHAnsi" w:hAnsiTheme="minorHAnsi"/>
        </w:rPr>
      </w:pPr>
    </w:p>
    <w:p w14:paraId="1C226E42" w14:textId="0F03A1E1" w:rsidR="00A1758F" w:rsidRPr="00A1758F" w:rsidRDefault="00A1758F" w:rsidP="00A1758F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A1758F">
        <w:rPr>
          <w:rFonts w:asciiTheme="minorHAnsi" w:hAnsiTheme="minorHAnsi"/>
          <w:u w:val="single"/>
        </w:rPr>
        <w:t xml:space="preserve">Hull Endowment </w:t>
      </w:r>
      <w:r>
        <w:rPr>
          <w:rFonts w:asciiTheme="minorHAnsi" w:hAnsiTheme="minorHAnsi"/>
        </w:rPr>
        <w:t>– fiscal year-</w:t>
      </w:r>
      <w:r w:rsidRPr="00A1758F">
        <w:rPr>
          <w:rFonts w:asciiTheme="minorHAnsi" w:hAnsiTheme="minorHAnsi"/>
        </w:rPr>
        <w:t xml:space="preserve">end balance is 160,434,64.  $5,434.64 will be transferred to the Hull earnings account.  Stuart Levy will check to see should this fund close below $155,000, whether we would have to transfer money back in from the Hull earnings account.  </w:t>
      </w:r>
    </w:p>
    <w:p w14:paraId="789BEC8B" w14:textId="77777777" w:rsidR="00A1758F" w:rsidRPr="00A1758F" w:rsidRDefault="00A1758F" w:rsidP="00A1758F">
      <w:pPr>
        <w:pStyle w:val="ListParagraph"/>
        <w:ind w:left="2520"/>
        <w:rPr>
          <w:rFonts w:asciiTheme="minorHAnsi" w:hAnsiTheme="minorHAnsi"/>
        </w:rPr>
      </w:pPr>
    </w:p>
    <w:p w14:paraId="6FECA43A" w14:textId="5E59C4A9" w:rsidR="00A1758F" w:rsidRPr="00A1758F" w:rsidRDefault="00A1758F" w:rsidP="00A1758F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A1758F">
        <w:rPr>
          <w:rFonts w:asciiTheme="minorHAnsi" w:hAnsiTheme="minorHAnsi"/>
          <w:u w:val="single"/>
        </w:rPr>
        <w:t>Hull Earnings</w:t>
      </w:r>
      <w:r w:rsidRPr="00A1758F">
        <w:rPr>
          <w:rFonts w:asciiTheme="minorHAnsi" w:hAnsiTheme="minorHAnsi"/>
        </w:rPr>
        <w:t xml:space="preserve"> – Do to the balance in Hull Earnings, $25,231.58 it was determined to move away from the conservative, liquidity position and investment based on exactly how the Endowment funds are invested.</w:t>
      </w:r>
    </w:p>
    <w:p w14:paraId="16733F8D" w14:textId="77777777" w:rsidR="00A1758F" w:rsidRPr="00A1758F" w:rsidRDefault="00A1758F" w:rsidP="00A1758F">
      <w:pPr>
        <w:rPr>
          <w:rFonts w:asciiTheme="minorHAnsi" w:hAnsiTheme="minorHAnsi"/>
        </w:rPr>
      </w:pPr>
    </w:p>
    <w:p w14:paraId="6465457F" w14:textId="77777777" w:rsidR="00A1758F" w:rsidRPr="00A1758F" w:rsidRDefault="00A1758F" w:rsidP="00A1758F">
      <w:pPr>
        <w:ind w:left="2160"/>
        <w:rPr>
          <w:rFonts w:asciiTheme="minorHAnsi" w:hAnsiTheme="minorHAnsi"/>
        </w:rPr>
      </w:pPr>
      <w:r w:rsidRPr="00A1758F">
        <w:rPr>
          <w:rFonts w:asciiTheme="minorHAnsi" w:hAnsiTheme="minorHAnsi"/>
        </w:rPr>
        <w:t>3.  Watch the market and when the next 10% drop in the market is realized a reallocation of investment will be done to 55% Equities and 45% Fixed income/bonds.</w:t>
      </w:r>
    </w:p>
    <w:p w14:paraId="6649507C" w14:textId="77777777" w:rsidR="00195D69" w:rsidRPr="00195D69" w:rsidRDefault="00195D69" w:rsidP="00195D69">
      <w:pPr>
        <w:rPr>
          <w:rFonts w:asciiTheme="minorHAnsi" w:eastAsia="Times New Roman" w:hAnsiTheme="minorHAnsi"/>
        </w:rPr>
      </w:pPr>
    </w:p>
    <w:p w14:paraId="739333CB" w14:textId="5111F996" w:rsidR="00BB7091" w:rsidRPr="00696901" w:rsidRDefault="00B7786B" w:rsidP="000D59DD">
      <w:pPr>
        <w:pStyle w:val="ListParagraph"/>
        <w:numPr>
          <w:ilvl w:val="1"/>
          <w:numId w:val="2"/>
        </w:numPr>
        <w:rPr>
          <w:rFonts w:asciiTheme="minorHAnsi" w:eastAsia="Times New Roman" w:hAnsiTheme="minorHAnsi"/>
        </w:rPr>
      </w:pPr>
      <w:r w:rsidRPr="00B7786B">
        <w:rPr>
          <w:rFonts w:asciiTheme="minorHAnsi" w:eastAsia="Times New Roman" w:hAnsiTheme="minorHAnsi"/>
          <w:u w:val="single"/>
        </w:rPr>
        <w:t>Reports</w:t>
      </w:r>
      <w:r>
        <w:rPr>
          <w:rFonts w:asciiTheme="minorHAnsi" w:eastAsia="Times New Roman" w:hAnsiTheme="minorHAnsi"/>
        </w:rPr>
        <w:t xml:space="preserve"> - </w:t>
      </w:r>
      <w:r w:rsidRPr="00B7786B">
        <w:rPr>
          <w:rFonts w:asciiTheme="minorHAnsi" w:eastAsia="Times New Roman" w:hAnsiTheme="minorHAnsi"/>
        </w:rPr>
        <w:t>Shirley creates and posts monthly reports for investments activity on the OLA website finance page.</w:t>
      </w:r>
    </w:p>
    <w:sectPr w:rsidR="00BB7091" w:rsidRPr="00696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0379"/>
    <w:multiLevelType w:val="hybridMultilevel"/>
    <w:tmpl w:val="4A96C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6685B"/>
    <w:multiLevelType w:val="hybridMultilevel"/>
    <w:tmpl w:val="12BAEE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A44CA"/>
    <w:multiLevelType w:val="hybridMultilevel"/>
    <w:tmpl w:val="21E6E10E"/>
    <w:lvl w:ilvl="0" w:tplc="9160A3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7C9771B8"/>
    <w:multiLevelType w:val="hybridMultilevel"/>
    <w:tmpl w:val="17EAD8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75"/>
    <w:rsid w:val="000847CB"/>
    <w:rsid w:val="000C356D"/>
    <w:rsid w:val="000D2A8E"/>
    <w:rsid w:val="000D59DD"/>
    <w:rsid w:val="000F50C7"/>
    <w:rsid w:val="00164084"/>
    <w:rsid w:val="00195D69"/>
    <w:rsid w:val="001D6AC5"/>
    <w:rsid w:val="00202D75"/>
    <w:rsid w:val="00266565"/>
    <w:rsid w:val="0026692E"/>
    <w:rsid w:val="002706CE"/>
    <w:rsid w:val="00296E1E"/>
    <w:rsid w:val="00331611"/>
    <w:rsid w:val="0034376A"/>
    <w:rsid w:val="0035414A"/>
    <w:rsid w:val="00360B5C"/>
    <w:rsid w:val="003771F4"/>
    <w:rsid w:val="0038059F"/>
    <w:rsid w:val="003946B4"/>
    <w:rsid w:val="003C5B4B"/>
    <w:rsid w:val="00402F6E"/>
    <w:rsid w:val="00426802"/>
    <w:rsid w:val="00480E79"/>
    <w:rsid w:val="004C6DA9"/>
    <w:rsid w:val="004E2F6B"/>
    <w:rsid w:val="00514546"/>
    <w:rsid w:val="00540711"/>
    <w:rsid w:val="00556E41"/>
    <w:rsid w:val="005866F2"/>
    <w:rsid w:val="005F1142"/>
    <w:rsid w:val="00696901"/>
    <w:rsid w:val="00704530"/>
    <w:rsid w:val="007207B1"/>
    <w:rsid w:val="00765F44"/>
    <w:rsid w:val="007B36BD"/>
    <w:rsid w:val="007B7247"/>
    <w:rsid w:val="007E28DA"/>
    <w:rsid w:val="00887B66"/>
    <w:rsid w:val="009265CF"/>
    <w:rsid w:val="00932209"/>
    <w:rsid w:val="009926A0"/>
    <w:rsid w:val="009F39BC"/>
    <w:rsid w:val="00A1758F"/>
    <w:rsid w:val="00A538F6"/>
    <w:rsid w:val="00A956CB"/>
    <w:rsid w:val="00AE0818"/>
    <w:rsid w:val="00B7786B"/>
    <w:rsid w:val="00BB7091"/>
    <w:rsid w:val="00C43476"/>
    <w:rsid w:val="00C855D2"/>
    <w:rsid w:val="00D50C05"/>
    <w:rsid w:val="00D70D0B"/>
    <w:rsid w:val="00D81301"/>
    <w:rsid w:val="00D9036E"/>
    <w:rsid w:val="00D976AA"/>
    <w:rsid w:val="00ED0126"/>
    <w:rsid w:val="00F23092"/>
    <w:rsid w:val="00F75F9D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DA2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7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7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 Cooperative Library Services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Lind</dc:creator>
  <cp:lastModifiedBy>Shirley Roberts</cp:lastModifiedBy>
  <cp:revision>2</cp:revision>
  <cp:lastPrinted>2015-12-01T20:39:00Z</cp:lastPrinted>
  <dcterms:created xsi:type="dcterms:W3CDTF">2016-10-03T23:34:00Z</dcterms:created>
  <dcterms:modified xsi:type="dcterms:W3CDTF">2016-10-03T23:34:00Z</dcterms:modified>
</cp:coreProperties>
</file>